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86" w:rsidRPr="004A3669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Во всем мире формируется качественно новая среда общения людей. Интернет позволяет, не выходя из дома, - получать информацию, обмениваться ею, взаимодействовать как друг с другом, так и с органами власти. Электронные услуги и сервисы экономят время заявителя и повышают удобство их получения.</w:t>
      </w:r>
    </w:p>
    <w:p w:rsidR="00A70C86" w:rsidRPr="004A3669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Доступ к электронным услугам обеспечивают</w:t>
      </w:r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hyperlink r:id="rId6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единый</w:t>
        </w:r>
      </w:hyperlink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и </w:t>
      </w:r>
      <w:hyperlink r:id="rId7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региональный </w:t>
        </w:r>
      </w:hyperlink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порталы государственных и муниципальных услуг, на которых содержится подробная и систематизированная информация о предоставляемых услугах, а также интерактивные формы заявлений и иные электронные сервисы. Использование на региональном портале Единой системы идентификац</w:t>
      </w:r>
      <w:proofErr w:type="gramStart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ии и ау</w:t>
      </w:r>
      <w:proofErr w:type="gramEnd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тентификации (ЕСИА) позволило его пользователям получать электронные услуги, экранные формы которых размещены как на региональном, так и на едином портале </w:t>
      </w:r>
      <w:proofErr w:type="spellStart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.</w:t>
      </w:r>
    </w:p>
    <w:p w:rsidR="00A70C86" w:rsidRPr="004A3669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На региональном портале </w:t>
      </w:r>
      <w:proofErr w:type="spellStart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размещено свыше 1200 услуг, более 440 из них имеют  интерактивные формы подачи заявлений (Приложения 1 и 2).</w:t>
      </w:r>
    </w:p>
    <w:p w:rsidR="00A70C86" w:rsidRPr="004A3669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Это услуги в сфере здравоохранения, образования, соцзащиты, культуры, занятости населения, регистрации актов гражданского состояния, жилищно-коммунального хозяйства, </w:t>
      </w:r>
      <w:proofErr w:type="spellStart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имущественно</w:t>
      </w:r>
      <w:proofErr w:type="spellEnd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-земельных отношений, строительства и регулирования предпринимательской деятельности.</w:t>
      </w:r>
    </w:p>
    <w:p w:rsidR="00A70C86" w:rsidRPr="004A3669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Для поиска необходимой услуги можно воспользоваться тематическим классификатором, расположенным на главной странице портала. На странице</w:t>
      </w:r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hyperlink r:id="rId8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«Каталог услуг» </w:t>
        </w:r>
      </w:hyperlink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расположен расширенный перечень классификаторов, обеспечивающих более быстрое нахождение требуемой услуги.</w:t>
      </w:r>
    </w:p>
    <w:p w:rsidR="00A70C86" w:rsidRPr="004A3669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В помощь пользователям разработаны видеоролики </w:t>
      </w:r>
      <w:hyperlink r:id="rId9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 xml:space="preserve">«Как найти услугу на портале </w:t>
        </w:r>
        <w:proofErr w:type="spellStart"/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госуслуг</w:t>
        </w:r>
        <w:proofErr w:type="spellEnd"/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?» </w:t>
        </w:r>
      </w:hyperlink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 </w:t>
      </w:r>
      <w:hyperlink r:id="rId10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«Что можно узнать из описания услуги?»</w:t>
        </w:r>
      </w:hyperlink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hyperlink r:id="rId11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«Как зарегистрироваться?»</w:t>
        </w:r>
      </w:hyperlink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и </w:t>
      </w:r>
      <w:hyperlink r:id="rId12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 xml:space="preserve">«О портале </w:t>
        </w:r>
        <w:proofErr w:type="spellStart"/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госуслуг</w:t>
        </w:r>
        <w:proofErr w:type="spellEnd"/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 xml:space="preserve"> Липецкой области» </w:t>
        </w:r>
      </w:hyperlink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Создана </w:t>
      </w:r>
      <w:hyperlink r:id="rId13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версия для слабовидящих</w:t>
        </w:r>
      </w:hyperlink>
      <w:proofErr w:type="gramStart"/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.</w:t>
      </w:r>
      <w:proofErr w:type="gramEnd"/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Если Вы хотите задать вопрос, связанный с получением государственных и муниципальных услуг, подать жалобу или оценить качество оказанной услуги, то это можно сделать на главной странице портала в разделе </w:t>
      </w:r>
      <w:hyperlink r:id="rId14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«Обратная связь» </w:t>
        </w:r>
      </w:hyperlink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либо со страницы с описанием услуги на вкладке «Вопросы/Жалобы».</w:t>
      </w:r>
    </w:p>
    <w:p w:rsidR="00A70C86" w:rsidRPr="004A3669" w:rsidRDefault="00A70C86" w:rsidP="00A70C86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Наиболее популярны среди жителей нашей области услуги по получению информации о продвижении очередности в детский сад, об успеваемости школьников, о положении на рынке труда области, о состоянии лицевого счета в ПФР и о наличии штрафов ГИБДД, а также запись к врачу. В целях увеличения онлайн услуг на региональном портале разработаны интерактивные сервисы по информированию о полученных и предлагаемых мерах </w:t>
      </w:r>
      <w:proofErr w:type="spellStart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соцподдержки</w:t>
      </w:r>
      <w:proofErr w:type="spellEnd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. Кроме того, на портале можно узнать свою налоговую задолженность, подать показания счетчиков, купить железнодорожные билеты, узнать информацию о маршрутах транспорта, о времени его прибытия и воспользоваться другими не менее полезными электронными сервисами, перейдя в раздел </w:t>
      </w:r>
      <w:hyperlink r:id="rId15" w:history="1">
        <w:r w:rsidRPr="004A366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«Е-сервисы»</w:t>
        </w:r>
      </w:hyperlink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.</w:t>
      </w:r>
    </w:p>
    <w:p w:rsidR="00A70C86" w:rsidRPr="004A3669" w:rsidRDefault="00A70C86" w:rsidP="00A70C86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Для получения этих и иных электронных  услуг необходимо зарегистрироваться на портале</w:t>
      </w:r>
      <w:proofErr w:type="gramStart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В</w:t>
      </w:r>
      <w:proofErr w:type="gramEnd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созданном после регистрации личном кабинете можно ознакомиться с ходом исполнения услуги, в том числе и по услугам, заказанным в МФЦ.</w:t>
      </w:r>
    </w:p>
    <w:p w:rsidR="00A70C86" w:rsidRPr="004A3669" w:rsidRDefault="00A70C86" w:rsidP="00A70C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lastRenderedPageBreak/>
        <w:t>Сведения об организациях, принимающих участие в предоставлении государственных и муниципа</w:t>
      </w:r>
      <w:bookmarkStart w:id="0" w:name="_GoBack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л</w:t>
      </w:r>
      <w:bookmarkEnd w:id="0"/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ьных услуг, с указанием адресов и часов приема, можно посмотреть в разделе</w:t>
      </w:r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hyperlink r:id="rId16" w:history="1">
        <w:r w:rsidRPr="004A3669">
          <w:rPr>
            <w:rFonts w:ascii="Times New Roman" w:eastAsia="Times New Roman" w:hAnsi="Times New Roman" w:cs="Times New Roman"/>
            <w:b/>
            <w:color w:val="0069BA"/>
            <w:sz w:val="24"/>
            <w:szCs w:val="24"/>
            <w:bdr w:val="none" w:sz="0" w:space="0" w:color="auto" w:frame="1"/>
            <w:lang w:eastAsia="ru-RU"/>
          </w:rPr>
          <w:t>«Куда обратиться»</w:t>
        </w:r>
      </w:hyperlink>
      <w:r w:rsidRPr="004A3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</w:t>
      </w:r>
      <w:r w:rsidRPr="004A366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Описание организаций дополнено интерактивной картой, на которой отображается их местоположение, перейти на нее можно, нажав на адрес организации.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Подать заявление на получение услуг БТИ теперь можно в электронном виде!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недавно обратиться за получением </w:t>
      </w:r>
      <w:hyperlink r:id="rId17" w:tgtFrame="_blank" w:history="1">
        <w:r w:rsidRPr="0010563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технического паспорта</w:t>
        </w:r>
      </w:hyperlink>
      <w:r w:rsidRPr="001056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8" w:tgtFrame="_blank" w:tooltip="справки об инвентаризационной стоимости объекта недвижимости" w:history="1">
        <w:r w:rsidRPr="001056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справки об инвентаризационной стоимости объекта недвижимости</w:t>
        </w:r>
      </w:hyperlink>
      <w:r w:rsidRPr="001056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было только в офисе ОГУП «</w:t>
      </w:r>
      <w:proofErr w:type="spellStart"/>
      <w:r w:rsidRPr="001056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Липецкоблтехинвентаризация</w:t>
      </w:r>
      <w:proofErr w:type="spellEnd"/>
      <w:r w:rsidRPr="0010563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Сложность и неудобство в получении данных услуг особо остро ощущали жители муниципальных районов области, которым приходилось преодолевать значительные расстояния и тратить много времени для того, чтобы подать заявление на получение услуги.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для жителей Липецкой области доступна дистанционная</w:t>
      </w:r>
      <w:r w:rsidRPr="0010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подача заявлений на получение услуг БТИ с регионального портала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. Данный способ значительно упрощает процедуру получения услуги, экономит время заявителей, а  также позволяет оперативно получать информацию о ходе исполнения услуги.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Для обращения за получением услуг достаточно подать с портала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заполненное заявление. При этом необходимо выбрать услугу в разделе «Имущественные отношения», подраздел «Недвижимость», в карточке услуги нажать кнопку «Подать заявление» и следовать указаниям по заполнению экранной формы заявления. После рассмотрения заявления в Личный кабинет заявителя на региональном портале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придет квитанция для оплаты и предложение даты и времени проведения осмотра недвижимости (для получения техпаспорта). Дальнейшая информация о ходе исполнения услуги и готовности заказанных документов также будет направляться заявителю в Личный кабинет.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Оплачивайте госпошлины со скидкой 30% на </w:t>
      </w:r>
      <w:proofErr w:type="spellStart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Госуслугах</w:t>
      </w:r>
      <w:proofErr w:type="spellEnd"/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В соответствии со статьей 333-35 части второй Налогового кодекса Российской Федерации с 1 января 2017 года граждане, обращающиеся за получением услуг в электронной форме через портал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(при условии электронной оплаты пошлины), будут оплачивать госпошлину за нее со скидкой 30% – даже если результаты этих услуг выдаются на бумажном носителе.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На данный момент реализована возможность электронной оплаты госпошлин со скидкой 30% для следующих услуг:</w:t>
      </w:r>
    </w:p>
    <w:p w:rsidR="00A70C86" w:rsidRPr="00105634" w:rsidRDefault="00105634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tooltip="Получение или замена ВУ" w:history="1">
        <w:r w:rsidR="00A70C86" w:rsidRPr="001056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Получение или замена ВУ</w:t>
        </w:r>
      </w:hyperlink>
      <w:r w:rsidR="00A70C86" w:rsidRPr="001056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C86" w:rsidRPr="00105634" w:rsidRDefault="00105634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tooltip="Регистрация транспортного средства" w:history="1">
        <w:r w:rsidR="00A70C86" w:rsidRPr="001056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Регистрация транспортного средства</w:t>
        </w:r>
      </w:hyperlink>
      <w:r w:rsidR="00A70C86" w:rsidRPr="001056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C86" w:rsidRPr="00105634" w:rsidRDefault="00105634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tooltip="Государственная регистрация брака" w:history="1">
        <w:r w:rsidR="00A70C86" w:rsidRPr="001056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Государственная регистрация брака</w:t>
        </w:r>
      </w:hyperlink>
      <w:r w:rsidR="00A70C86" w:rsidRPr="001056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C86" w:rsidRPr="004A3669" w:rsidRDefault="00105634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hyperlink r:id="rId22" w:tgtFrame="_blank" w:tooltip="Регистрация расторжения брака" w:history="1">
        <w:r w:rsidR="00A70C86" w:rsidRPr="001056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Регистрация расторжения брака</w:t>
        </w:r>
      </w:hyperlink>
      <w:r w:rsidR="00A70C86" w:rsidRPr="004A3669"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  <w:t>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Перечень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с возможностью оплаты госпошлины со скидкой через портал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со временем будет расширяться.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Чтобы получить скидку:</w:t>
      </w:r>
    </w:p>
    <w:p w:rsidR="00A70C86" w:rsidRPr="00105634" w:rsidRDefault="00A70C86" w:rsidP="00A70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lastRenderedPageBreak/>
        <w:t xml:space="preserve">Подайте заявление на услугу через портал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.</w:t>
      </w:r>
    </w:p>
    <w:p w:rsidR="00A70C86" w:rsidRPr="00105634" w:rsidRDefault="00A70C86" w:rsidP="00A70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Подождите пока ведомство выставит счет на оплату пошлины по вашему заявлению в Личном </w:t>
      </w:r>
      <w:proofErr w:type="gram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кабинете</w:t>
      </w:r>
      <w:proofErr w:type="gram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и перейдите к оплате.</w:t>
      </w:r>
    </w:p>
    <w:p w:rsidR="00A70C86" w:rsidRPr="00105634" w:rsidRDefault="00A70C86" w:rsidP="00A70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Выберите безналичный способ для оплаты госпошлины: Банковская карта (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Master</w:t>
      </w:r>
      <w:proofErr w:type="gram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С</w:t>
      </w:r>
      <w:proofErr w:type="gram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ard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,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Visa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, Мир); Электронный кошелек (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Webmoney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); Мобильный телефон (Федеральные операторы).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Если условия соблюдены, то вы получаете скидку на оплату госпошлины. Оплачивать госпошлины со скидкой можно до 01 января 2019 года.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Оплата штрафа со скидкой 50% на портале </w:t>
      </w:r>
      <w:proofErr w:type="spellStart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На </w:t>
      </w:r>
      <w:hyperlink r:id="rId23" w:tgtFrame="_blank" w:tooltip="Едином портале госуслуг" w:history="1">
        <w:r w:rsidRPr="00105634">
          <w:rPr>
            <w:rFonts w:ascii="Times New Roman" w:eastAsia="Times New Roman" w:hAnsi="Times New Roman" w:cs="Times New Roman"/>
            <w:b/>
            <w:color w:val="CC6600"/>
            <w:sz w:val="24"/>
            <w:szCs w:val="24"/>
            <w:lang w:eastAsia="ru-RU"/>
          </w:rPr>
          <w:t xml:space="preserve">Едином портале </w:t>
        </w:r>
        <w:proofErr w:type="spellStart"/>
        <w:r w:rsidRPr="00105634">
          <w:rPr>
            <w:rFonts w:ascii="Times New Roman" w:eastAsia="Times New Roman" w:hAnsi="Times New Roman" w:cs="Times New Roman"/>
            <w:b/>
            <w:color w:val="CC6600"/>
            <w:sz w:val="24"/>
            <w:szCs w:val="24"/>
            <w:lang w:eastAsia="ru-RU"/>
          </w:rPr>
          <w:t>госуслуг</w:t>
        </w:r>
        <w:proofErr w:type="spellEnd"/>
      </w:hyperlink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 (ЕПГУ), функционирует электронный сервис, с помощью которого пользователи могут оплачивать штрафы со скидкой 50% в течение 20 дней со дня вынесения постановления.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Изменения в Кодекс об административных правонарушениях, позволяющие в случае оперативной оплаты штрафов за незначительные нарушения правил дорожного движения получить скидку, вступили в силу с 1 января 2016 года.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На ЕПГУ воспользоваться сервисом могут зарегистрированные пользователи. Уведомления о выписанных штрафах будут автоматически доставляться в личные кабинеты пользователей, после чего система напоминает о возможности получить скидку. Условием получения скидки является оплата штрафа в течение 20 дней. Личный кабинет пользователя также поддерживает функцию оплаты.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На региональном портале </w:t>
      </w:r>
      <w:proofErr w:type="spellStart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 функционирует сервис по информированию об исполнении заказанных в МФЦ услуг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Узнать о </w:t>
      </w:r>
      <w:proofErr w:type="gram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готовности</w:t>
      </w:r>
      <w:proofErr w:type="gram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заказанной через МФЦ услуги можно на региональном портале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Липецкой области (</w:t>
      </w:r>
      <w:hyperlink r:id="rId24" w:history="1">
        <w:r w:rsidRPr="00105634">
          <w:rPr>
            <w:rFonts w:ascii="Times New Roman" w:eastAsia="Times New Roman" w:hAnsi="Times New Roman" w:cs="Times New Roman"/>
            <w:b/>
            <w:color w:val="CC6600"/>
            <w:sz w:val="24"/>
            <w:szCs w:val="24"/>
            <w:lang w:eastAsia="ru-RU"/>
          </w:rPr>
          <w:t>www.pgu48.ru</w:t>
        </w:r>
      </w:hyperlink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). Электронный сервис предоставляет дополнительные возможности пользователям регионального портала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и направлен на повышение удобства и комфорта при получении государственных и муниципальных услуг.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Сервис «Ход исполнения услуги в МФЦ» доступен из разделов </w:t>
      </w:r>
      <w:hyperlink r:id="rId25" w:tgtFrame="_blank" w:tooltip="МФЦ" w:history="1">
        <w:r w:rsidRPr="00105634">
          <w:rPr>
            <w:rFonts w:ascii="Times New Roman" w:eastAsia="Times New Roman" w:hAnsi="Times New Roman" w:cs="Times New Roman"/>
            <w:b/>
            <w:color w:val="CC6600"/>
            <w:sz w:val="24"/>
            <w:szCs w:val="24"/>
            <w:lang w:eastAsia="ru-RU"/>
          </w:rPr>
          <w:t>"МФЦ"</w:t>
        </w:r>
      </w:hyperlink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 и </w:t>
      </w:r>
      <w:hyperlink r:id="rId26" w:tgtFrame="_blank" w:tooltip="Е-сервисы" w:history="1">
        <w:r w:rsidRPr="00105634">
          <w:rPr>
            <w:rFonts w:ascii="Times New Roman" w:eastAsia="Times New Roman" w:hAnsi="Times New Roman" w:cs="Times New Roman"/>
            <w:b/>
            <w:color w:val="CC6600"/>
            <w:sz w:val="24"/>
            <w:szCs w:val="24"/>
            <w:lang w:eastAsia="ru-RU"/>
          </w:rPr>
          <w:t>"Е-сервисы"</w:t>
        </w:r>
      </w:hyperlink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 портала. В личный кабинет пользователя портала поступает информация о ходе исполнения всех заказанных в МФЦ услуг, кроме услуг, предоставляемых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Росреестром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Электронные сервисы </w:t>
      </w:r>
      <w:proofErr w:type="spellStart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соцподдержки</w:t>
      </w:r>
      <w:proofErr w:type="spellEnd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 стали доступны пользователям портала </w:t>
      </w:r>
      <w:proofErr w:type="spellStart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!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Для повышения доступности услуг в социальной сфере на региональном портале государственных и муниципальных услуг Липецкой области функционируют </w:t>
      </w:r>
      <w:hyperlink r:id="rId27" w:tgtFrame="_blank" w:tooltip="интерактивные сервисы" w:history="1">
        <w:r w:rsidRPr="00105634">
          <w:rPr>
            <w:rFonts w:ascii="Times New Roman" w:eastAsia="Times New Roman" w:hAnsi="Times New Roman" w:cs="Times New Roman"/>
            <w:b/>
            <w:color w:val="CC6600"/>
            <w:sz w:val="24"/>
            <w:szCs w:val="24"/>
            <w:lang w:eastAsia="ru-RU"/>
          </w:rPr>
          <w:t>интерактивные сервисы</w:t>
        </w:r>
      </w:hyperlink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 по информированию: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- о размере и расчете полученных в органах соцзащиты социальных выплатах («Информация о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соцвыплатах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»);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- о предлагаемых органами соцзащиты мерах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соцподдержки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(«Социальный навигатор»).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lastRenderedPageBreak/>
        <w:t xml:space="preserve">Интерактивный сервис «Информация о </w:t>
      </w:r>
      <w:proofErr w:type="spellStart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соцвыплатах</w:t>
      </w:r>
      <w:proofErr w:type="spellEnd"/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» предоставляет пользователям информацию по запрашиваемому периоду об оказанных мерах социальной поддержки, включая алгоритм расчета начисленных сумм.</w:t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«Социальный навигатор» помогает пользователям портала сориентироваться среди обширного перечня предоставляемых социальных услуг с учетом жизненной ситуации и категории заявителя, а также подать заявление в электронном виде на получение заинтересовавших услуг.</w:t>
      </w:r>
    </w:p>
    <w:p w:rsidR="00A70C86" w:rsidRPr="00105634" w:rsidRDefault="00A70C86" w:rsidP="00A70C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br w:type="textWrapping" w:clear="all"/>
      </w:r>
    </w:p>
    <w:p w:rsidR="00A70C86" w:rsidRPr="00105634" w:rsidRDefault="00A70C86" w:rsidP="00A70C86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Приложение 1</w:t>
      </w:r>
    </w:p>
    <w:p w:rsidR="00A70C86" w:rsidRPr="00105634" w:rsidRDefault="00A70C86" w:rsidP="00A70C8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Перечень типовых муниципальных услуг и услуг учреждений, предоставляемых в электронной форме на портале </w:t>
      </w:r>
      <w:proofErr w:type="spellStart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9784"/>
      </w:tblGrid>
      <w:tr w:rsidR="00A70C86" w:rsidRPr="00105634" w:rsidTr="00A70C86">
        <w:trPr>
          <w:trHeight w:val="303"/>
        </w:trPr>
        <w:tc>
          <w:tcPr>
            <w:tcW w:w="10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Услуги в сфере образования и науки</w:t>
            </w:r>
          </w:p>
        </w:tc>
      </w:tr>
      <w:tr w:rsidR="00A70C86" w:rsidRPr="00105634" w:rsidTr="00A70C86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A70C86" w:rsidRPr="00105634" w:rsidTr="00A70C86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A70C86" w:rsidRPr="00105634" w:rsidTr="00A70C86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</w:tr>
      <w:tr w:rsidR="00A70C86" w:rsidRPr="00105634" w:rsidTr="00A70C86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Компенсационные выплаты за содержание ребенка в образовательной организации, реализующей основную общеобразовательную программу</w:t>
            </w:r>
          </w:p>
        </w:tc>
      </w:tr>
      <w:tr w:rsidR="00A70C86" w:rsidRPr="00105634" w:rsidTr="00A70C86">
        <w:trPr>
          <w:trHeight w:val="281"/>
        </w:trPr>
        <w:tc>
          <w:tcPr>
            <w:tcW w:w="10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Услуги в сфере имущественно – земельных отношений, строительства и архитектуры </w:t>
            </w: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земельных участков в аренду из земель сельскохозяйственного назначения, находящихся в муниципальной собственности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прав на земельные участки, находящиеся в муниципальной  собственности Липецкой области, на которых расположены здания, строения, сооружения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Предоставление свободных земельных участков для целей, связанных со строительством (кроме </w:t>
            </w: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)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муниципального имущества Липецкой области в аренду или безвозмездное пользование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(или) перепланировки жилых помещений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Принятие документов, а также выдача решения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разрешений на ввод объектов  в эксплуатацию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в собственность земельных участков, составляющих территорию садоводческих, огороднических или дачных некоммерческих объединений, гражданам для садоводства и огородничества</w:t>
            </w:r>
          </w:p>
        </w:tc>
      </w:tr>
      <w:tr w:rsidR="00A70C86" w:rsidRPr="00105634" w:rsidTr="00A70C86">
        <w:trPr>
          <w:trHeight w:val="333"/>
        </w:trPr>
        <w:tc>
          <w:tcPr>
            <w:tcW w:w="10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Услуги в сфере транспорта, производства и торговли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разрешения на движение по автомобильным дорогам муниципального значения транспортного средства, осуществляющего перевозку опасных, тяжеловесных и (или) крупногабаритных грузов</w:t>
            </w:r>
          </w:p>
        </w:tc>
      </w:tr>
      <w:tr w:rsidR="00A70C86" w:rsidRPr="00105634" w:rsidTr="00A70C86">
        <w:trPr>
          <w:trHeight w:val="279"/>
        </w:trPr>
        <w:tc>
          <w:tcPr>
            <w:tcW w:w="10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Услуги сельских поселений</w:t>
            </w:r>
          </w:p>
        </w:tc>
      </w:tr>
      <w:tr w:rsidR="00A70C86" w:rsidRPr="00105634" w:rsidTr="00A70C86">
        <w:trPr>
          <w:trHeight w:val="4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Выдача населению справок, выписок из домовых и </w:t>
            </w: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книг</w:t>
            </w:r>
          </w:p>
        </w:tc>
      </w:tr>
    </w:tbl>
    <w:p w:rsidR="00A70C86" w:rsidRPr="00105634" w:rsidRDefault="00A70C86" w:rsidP="00A70C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 </w:t>
      </w:r>
    </w:p>
    <w:p w:rsidR="00105634" w:rsidRDefault="00105634" w:rsidP="00A70C86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</w:p>
    <w:p w:rsidR="00A70C86" w:rsidRPr="00105634" w:rsidRDefault="00A70C86" w:rsidP="00A70C86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lastRenderedPageBreak/>
        <w:t>Приложение 2</w:t>
      </w:r>
    </w:p>
    <w:p w:rsidR="00A70C86" w:rsidRPr="00105634" w:rsidRDefault="00A70C86" w:rsidP="00A70C8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Перечень государственных услуг и услуг учреждений, </w:t>
      </w:r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br/>
        <w:t xml:space="preserve">предоставляемых в электронной форме на портале </w:t>
      </w:r>
      <w:proofErr w:type="spellStart"/>
      <w:r w:rsidRPr="0010563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госуслуг</w:t>
      </w:r>
      <w:proofErr w:type="spell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45"/>
        <w:gridCol w:w="981"/>
        <w:gridCol w:w="1907"/>
        <w:gridCol w:w="5777"/>
      </w:tblGrid>
      <w:tr w:rsidR="00A70C86" w:rsidRPr="00105634" w:rsidTr="00A70C86">
        <w:trPr>
          <w:trHeight w:val="903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п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№ услуги по ОИВ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Тип услуги</w:t>
            </w:r>
            <w:bookmarkStart w:id="1" w:name="ftnref1"/>
            <w:bookmarkEnd w:id="1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Наименование ОИВ, </w:t>
            </w: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 за услугу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Госжилинспек-ция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предпринимателями.</w:t>
            </w:r>
          </w:p>
        </w:tc>
      </w:tr>
      <w:tr w:rsidR="00A70C86" w:rsidRPr="00105634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Инспекция </w:t>
            </w: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гостехнадзора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выдаче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указанным учреждениям лицензий на право подготовки трактористов и машинистов самоходных машин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A70C86" w:rsidRPr="00105634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Приём экзаменов на право управления самоходными машинами и выдача удостоверений тракториста-машиниста (тракториста)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Рассмотрение претензий владельцев поднадзорных машин и оборудования по поводу ненадлежащего качества проданной или </w:t>
            </w: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lastRenderedPageBreak/>
              <w:t>отремонтированной техники</w:t>
            </w:r>
          </w:p>
        </w:tc>
      </w:tr>
      <w:tr w:rsidR="00A70C86" w:rsidRPr="00105634" w:rsidTr="00A70C86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Регистрация тракторов, самоходных дорожно-строительных и иных машин и прицепов к ним с выдачей государственных регистрационных знаков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Технический осмотр зарегистрированных самоходных машин и других видов техники государственной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дорог и транспорта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и переоформление разрешения на осуществление деятельности по перевозке пассажиров и багажа легковым такси на территории Липецкой области</w:t>
            </w:r>
          </w:p>
        </w:tc>
      </w:tr>
      <w:tr w:rsidR="00A70C86" w:rsidRPr="00105634" w:rsidTr="00A70C86">
        <w:trPr>
          <w:trHeight w:val="30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</w:t>
            </w: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lastRenderedPageBreak/>
              <w:t>образований (муниципальных районов, городских округов)</w:t>
            </w:r>
            <w:proofErr w:type="gramEnd"/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Липецкой области </w:t>
            </w: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детяи</w:t>
            </w:r>
            <w:proofErr w:type="spell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-сиротам и детям, оставшимся без попечения родителей, а также лиц из их числа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ЗАГС и архивов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Проставление штампа </w:t>
            </w: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Апостиль</w:t>
            </w:r>
            <w:proofErr w:type="spellEnd"/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Исполнение запросов и обращений граждан Российской Федерации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Истребование документов по регистрации актов гражданского состояния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здравоохране-</w:t>
            </w: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lastRenderedPageBreak/>
              <w:t>Запись на прием к врачу</w:t>
            </w:r>
          </w:p>
        </w:tc>
      </w:tr>
      <w:tr w:rsidR="00A70C86" w:rsidRPr="00105634" w:rsidTr="00A70C86">
        <w:trPr>
          <w:trHeight w:val="1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Компенсация стоимости проезда малообеспеченным гражданам к месту лечения, детям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      </w:r>
          </w:p>
        </w:tc>
      </w:tr>
      <w:tr w:rsidR="00A70C86" w:rsidRPr="00105634" w:rsidTr="00A70C86">
        <w:trPr>
          <w:trHeight w:val="3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власти, государственным академиям наук)</w:t>
            </w:r>
          </w:p>
        </w:tc>
      </w:tr>
      <w:tr w:rsidR="00A70C86" w:rsidRPr="00105634" w:rsidTr="00A70C86">
        <w:trPr>
          <w:trHeight w:val="6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      </w:r>
          </w:p>
        </w:tc>
      </w:tr>
      <w:tr w:rsidR="00A70C86" w:rsidRPr="00105634" w:rsidTr="00A70C86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</w:t>
            </w: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lastRenderedPageBreak/>
              <w:t>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A70C86" w:rsidRPr="00105634" w:rsidTr="00A70C86">
        <w:trPr>
          <w:trHeight w:val="6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Направление граждан, нуждающихся в оказании специализированной, в том числе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Проведение аттестации для получения квалификационной категории медицинскими и фармацевтическими работниками</w:t>
            </w:r>
          </w:p>
        </w:tc>
      </w:tr>
      <w:tr w:rsidR="00A70C86" w:rsidRPr="00105634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имуществен-ных</w:t>
            </w:r>
            <w:proofErr w:type="spellEnd"/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и земельных отношений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землей, находящейся в государственной собственности Липецкой области и государственная собственность на которую не разграничена на территории городского округа город Липецк Липецкой области</w:t>
            </w:r>
          </w:p>
        </w:tc>
      </w:tr>
      <w:tr w:rsidR="00A70C86" w:rsidRPr="00105634" w:rsidTr="00A70C86">
        <w:trPr>
          <w:trHeight w:val="120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государственного имущества Липецкой области в аренду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государственного имущества Липецкой области в безвозмездное пользование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земельного участка, предназначенного для ведения сельскохозяйственного производства, находящегося в областной собственности, в аренду без проведения торгов путем заключения нового договора аренды</w:t>
            </w:r>
          </w:p>
        </w:tc>
      </w:tr>
      <w:tr w:rsidR="00A70C86" w:rsidRPr="00105634" w:rsidTr="00A70C86">
        <w:trPr>
          <w:trHeight w:val="230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на которых расположены здания, сооружения</w:t>
            </w:r>
            <w:proofErr w:type="gramEnd"/>
          </w:p>
        </w:tc>
      </w:tr>
      <w:tr w:rsidR="00A70C86" w:rsidRPr="00105634" w:rsidTr="00A70C86">
        <w:trPr>
          <w:trHeight w:val="24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</w:t>
            </w: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lastRenderedPageBreak/>
              <w:t>(фермерским) хозяйством деятельности без проведения торгов</w:t>
            </w:r>
            <w:proofErr w:type="gramEnd"/>
          </w:p>
        </w:tc>
      </w:tr>
      <w:tr w:rsidR="00A70C86" w:rsidRPr="00105634" w:rsidTr="00A70C86">
        <w:trPr>
          <w:trHeight w:val="7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Технический паспорт здания (строения) или выписка из него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культуры и искусства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A70C86" w:rsidRPr="00105634" w:rsidTr="00A70C86">
        <w:trPr>
          <w:trHeight w:val="7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задания на проведение работ по сохранению объекта культурного наследия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разрешений на возобновление проведения землеустроительных, земляных, строительных, мелиоративных, хозяйственных и иных работ</w:t>
            </w:r>
          </w:p>
        </w:tc>
      </w:tr>
      <w:tr w:rsidR="00A70C86" w:rsidRPr="00105634" w:rsidTr="00A70C86">
        <w:trPr>
          <w:trHeight w:val="5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разрешений на проведение работ по сохранению объекта культурного наследия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собственнику объекта культурного наследия паспорта объекта культурного наследия</w:t>
            </w:r>
          </w:p>
        </w:tc>
      </w:tr>
      <w:tr w:rsidR="00A70C86" w:rsidRPr="00105634" w:rsidTr="00A70C86">
        <w:trPr>
          <w:trHeight w:val="6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Выявление объектов, обладающих признаками объекта культурного наследия</w:t>
            </w:r>
          </w:p>
        </w:tc>
      </w:tr>
      <w:tr w:rsidR="00A70C86" w:rsidRPr="00105634" w:rsidTr="00A70C86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Организация проведения историко-культурной экспертизы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Организация установки и согласование информационных надписей и обозначений на объекты культурного наследия</w:t>
            </w:r>
          </w:p>
        </w:tc>
      </w:tr>
      <w:tr w:rsidR="00A70C86" w:rsidRPr="00105634" w:rsidTr="00A70C86">
        <w:trPr>
          <w:trHeight w:val="7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Оформление охранного обязательства собственника объекта культурного наследия</w:t>
            </w:r>
          </w:p>
        </w:tc>
      </w:tr>
      <w:tr w:rsidR="00A70C86" w:rsidRPr="00105634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доступа к  оцифрованным изданиям,    хранящимся в библиотеках, в том числе к фонду редких книг, с учетом соблюдения требований                законодательства  Российской Федерации об авторских и смежных правах</w:t>
            </w:r>
          </w:p>
        </w:tc>
      </w:tr>
      <w:tr w:rsidR="00A70C86" w:rsidRPr="00105634" w:rsidTr="00A70C86">
        <w:trPr>
          <w:trHeight w:val="7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доступа к  справочно-поисковому аппарату библиотек, базам данных.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Согласование документации территориального планирования, разрабатываемой для исторических поселений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Согласование проведения землеустроительных, земляных, строительных, мелиоративных, хозяйственных и иных работ и проектов проведения указанных работ</w:t>
            </w:r>
          </w:p>
        </w:tc>
      </w:tr>
      <w:tr w:rsidR="00A70C86" w:rsidRPr="00105634" w:rsidTr="00A70C86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</w:tr>
      <w:tr w:rsidR="00A70C86" w:rsidRPr="00105634" w:rsidTr="00A70C86">
        <w:trPr>
          <w:trHeight w:val="6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Согласование </w:t>
            </w: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проектов зон охраны объектов культурного наследия</w:t>
            </w:r>
            <w:proofErr w:type="gramEnd"/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лесного хозяйства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гражданам лесных насаждений для заготовки древесины для собственных нужд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Прием лесной декларации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Прием отчета об использовании лесов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образования и науки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Государственная аккредитация образовательных учреждений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Зачисление в государственное (областное) специальное (коррекционное) образовательное учреждение для обучающихся (воспитанников) с ограниченными возможностями здоровья</w:t>
            </w:r>
          </w:p>
        </w:tc>
      </w:tr>
      <w:tr w:rsidR="00A70C86" w:rsidRPr="00105634" w:rsidTr="00A70C86">
        <w:trPr>
          <w:trHeight w:val="4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Лицензирование образовательной деятельности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информации из базы данных Липецкой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A70C86" w:rsidRPr="00105634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</w:tr>
      <w:tr w:rsidR="00A70C86" w:rsidRPr="00105634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приеме и зачислении в государственное (областное) учреждение начального и среднего профессионального образования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 и студента государственного (областного) учреждения начального и среднего профессионального образования, ведение электронных журналов успеваемости</w:t>
            </w:r>
          </w:p>
        </w:tc>
      </w:tr>
      <w:tr w:rsidR="00A70C86" w:rsidRPr="00105634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государственного (областного) учреждения начального и среднего профессионального образования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информации об организации дополнительного профессионального образования в Липецкой области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Прием документов органами опеки и попечительства от лиц, желающих усыновить, принять под опеку (попечительство) детей, оставшихся без попечения родителей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Прием и зачисление в государственное (областное) учреждение начального, среднего профессионального образования, в том числе по программам переподготовки и повышения квалификации</w:t>
            </w:r>
          </w:p>
        </w:tc>
      </w:tr>
      <w:tr w:rsidR="00A70C86" w:rsidRPr="00105634" w:rsidTr="00A70C86">
        <w:trPr>
          <w:trHeight w:val="14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      </w:r>
          </w:p>
        </w:tc>
      </w:tr>
      <w:tr w:rsidR="00A70C86" w:rsidRPr="00105634" w:rsidTr="00A70C86">
        <w:trPr>
          <w:trHeight w:val="19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по охране, использованию объектов животного мира и водных биологических ресурсов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и аннулирование охотничьих билетов</w:t>
            </w:r>
          </w:p>
        </w:tc>
      </w:tr>
      <w:tr w:rsidR="00A70C86" w:rsidRPr="00105634" w:rsidTr="00A70C86">
        <w:trPr>
          <w:trHeight w:val="6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потребительс</w:t>
            </w:r>
            <w:proofErr w:type="spell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-кого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рынка и ценовой политики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лицензий на розничную продажу алкогольной продукции</w:t>
            </w:r>
          </w:p>
        </w:tc>
      </w:tr>
      <w:tr w:rsidR="00A70C86" w:rsidRPr="00105634" w:rsidTr="00A70C86">
        <w:trPr>
          <w:trHeight w:val="8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Лицензирование заготовки, хранения, переработки и реализации лома черных металлов, цветных металлов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Выплата государственных единовременных пособий и ежемесячных  денежных компенсаций при возникновении поствакцинальных осложнений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Выплата инвалидам компенсации уплаченной ими страховой премии  по договору</w:t>
            </w:r>
          </w:p>
        </w:tc>
      </w:tr>
      <w:tr w:rsidR="00A70C86" w:rsidRPr="00105634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Выплата компенсации проезда по территории области железнодорожным транспортом пригородного сообщения, с оплатой 50 процентов стоимости проезда без ограничения числа поездок и маршрута следования лицам, удостоенным почетного звания «Почетный гражданин Липецкой области»</w:t>
            </w:r>
          </w:p>
        </w:tc>
      </w:tr>
      <w:tr w:rsidR="00A70C86" w:rsidRPr="00105634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Выплата компенсации проезда по территории Российской Федерации один раз в год (туда и обратно) железнодорожным транспортом (в скорых и пассажирских поездах), воздушным или междугородным автомобильным транспортом лицам, удостоенным почетного звания «Почетный гражданин Липецкой области»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Выплата социального пособия на погребение в случаях, если </w:t>
            </w: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умерший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не подлежал обязательному социальному страхованию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Денежная выплата на оплату бытового газа в баллонах, твердого топлива</w:t>
            </w:r>
          </w:p>
        </w:tc>
      </w:tr>
      <w:tr w:rsidR="00A70C86" w:rsidRPr="00105634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Компенсация абонентской платы за пользование стационарным телефоном и радиоточкой  Почетным гражданам области</w:t>
            </w:r>
          </w:p>
        </w:tc>
      </w:tr>
      <w:tr w:rsidR="00A70C86" w:rsidRPr="00105634" w:rsidTr="00A70C86">
        <w:trPr>
          <w:trHeight w:val="19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Российской Федерации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государственной социальной помощи в виде социального пособия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единовременного пособия при рождении ребенка</w:t>
            </w:r>
          </w:p>
        </w:tc>
      </w:tr>
      <w:tr w:rsidR="00A70C86" w:rsidRPr="00105634" w:rsidTr="00A70C86">
        <w:trPr>
          <w:trHeight w:val="9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единовременной социальной выплаты в связи с рождением третьего и последующего детей или детей-близнецов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единовременной социальной выплаты лицам из числа детей сирот и детей, оставшихся без попечения родителей, в связи с рождением ребенка (детей)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единовременной социальной выплаты при рождении троих и более детей одновременно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ежемесячного пособия на ребенка</w:t>
            </w:r>
          </w:p>
        </w:tc>
      </w:tr>
      <w:tr w:rsidR="00A70C86" w:rsidRPr="00105634" w:rsidTr="00A70C86">
        <w:trPr>
          <w:trHeight w:val="9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ежемесячного пособия по уходу за ребенком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</w:tr>
      <w:tr w:rsidR="00A70C86" w:rsidRPr="00105634" w:rsidTr="00A70C86">
        <w:trPr>
          <w:trHeight w:val="44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ежемесячной денежной выплаты на проезд в автомобильном транспорте межмуниципального сообщения учащимся муниципальных общеобразовательных учреждений, учреждений начального профессионального образования и студентам очной формы обучения учреждений среднего и высшего профессионального образования из малообеспеченных семей, среднедушевой доход которых ниже величины прожиточного минимума, установленного в области в расчете на душу населения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ежемесячной доплаты к государственной пенсии за выдающиеся достижения и особые заслуги перед Липецкой областью</w:t>
            </w:r>
          </w:p>
        </w:tc>
      </w:tr>
      <w:tr w:rsidR="00A70C86" w:rsidRPr="00105634" w:rsidTr="00A70C86">
        <w:trPr>
          <w:trHeight w:val="46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ежемесячной доплаты к государственной пенсии по случаю потери кормильца, назначенной в соответствии с федеральным законодательством, детям, не достигшим возраста 18 лет, а также обучающимся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возраста 23 лет, </w:t>
            </w:r>
            <w:proofErr w:type="gram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на территории Липецкой области, родители (один из родителей) которых погибли (погиб) при исполнении обязанностей военной службы (служебных обязанностей) в Демократической Республике Афганистан, Чеченской Республике и на прилегающих к ней территориях Российской Федерации, а также на границе Российской Федерации с другими государствами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ежемесячной доплаты к государственной пенсии, назначенной в соответствии с федеральным законодательством лицам, имеющим особые заслуги перед Российской Федерацией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ежемесячной доплаты к пенсии по случаю потери кормильца родителям и вдовам, дети и мужья которых погибли в "горячих точках"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ежемесячной социальной выплаты малоимущим молодым семьям на компенсацию затрат по найму (поднайму) жилого помещения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ежемесячной социальной выплаты малоимущим семьям на ребенка (детей) от полутора до трех лет</w:t>
            </w:r>
          </w:p>
        </w:tc>
      </w:tr>
      <w:tr w:rsidR="00A70C86" w:rsidRPr="00105634" w:rsidTr="00A70C86">
        <w:trPr>
          <w:trHeight w:val="19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пенсии по случаю потери кормильца членам семьи лиц, замещающих государственные должности Липецкой области, должности государственной гражданской службы области, а также лиц, уволившихся с государственной службы области или с государственной гражданской службы области в связи с выходом на пенсию, в случае их смерти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Назначение и выплата пенсионных выплат лицам, замещающим государственные должности Липецкой области и должности государственной гражданской службы Липецкой области</w:t>
            </w:r>
          </w:p>
        </w:tc>
      </w:tr>
      <w:tr w:rsidR="00A70C86" w:rsidRPr="00105634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Обеспечение жилищными сертификатами граждан, выезжающих из районов Крайнего Севера и приравненных к ним местностей, граждан, уволенных с военной службы, и приравненных к ним лиц, вынужденных переселенцев, а также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</w:t>
            </w:r>
          </w:p>
        </w:tc>
      </w:tr>
      <w:tr w:rsidR="00A70C86" w:rsidRPr="00105634" w:rsidTr="00A70C86">
        <w:trPr>
          <w:trHeight w:val="13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Оплата санаторно–курортных путевок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Осуществление ветеранам труда, ветеранам военной службы, ветеранам государственной службы,  труженикам тыла, реабилитированным лицам и  лицам, пострадавшим от политических репрессий, ежемесячных денежных выплат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Оформление и выдача гражданам удостоверения участника ликвидации последствий катастрофы на Чернобыльской АЭС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Оформление и выдача удостоверений гражданам, подвергшимся воздействию радиации вследствие аварии в 1957 году на  производственном объединении «Маяк» и сбросов радиоактивных отходов в реку </w:t>
            </w: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Оформление и выдача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Оформление и выдача удостоверения участникам Великой Отечественной войны</w:t>
            </w:r>
          </w:p>
        </w:tc>
      </w:tr>
      <w:tr w:rsidR="00A70C86" w:rsidRPr="00105634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бесплатного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детям из многодетных семей – учащимся муниципальных общеобразовательных учреждений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бесплатной протезно-ортопедической помощи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гражданам денежных выплат на оплату жилого помещения и коммунальных услуг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нагрудным знаком "Почетный  донор России» или «Почетный донор СССР"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компенсации стоимости подключения жилого помещения к централизованной системе холодного водоснабжения малоимущим многодетным семьям»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материальной помощи гражданам, находящимся в трудной жизненной ситуации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оплаты стоимости газификации малоимущим многодетным семьям, нуждающимся в газификации жилья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путевок для детей, находящихся в трудной жизненной ситуации, источником финансирования для которых являются субсидии из федерального бюджета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путевок на санаторно - курортное лечение беременным женщинам из малоимущих молодых семей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санаторно-курортного лечения  или денежной компенсации стоимости санаторно-курортной путевки Почетным гражданам области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услуг</w:t>
            </w:r>
          </w:p>
        </w:tc>
      </w:tr>
      <w:tr w:rsidR="00A70C86" w:rsidRPr="00105634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Принятие документов и определение размера средств на проведение ремонта жилых домов, принадлежащих членам семей военнослужащих и сотрудников органов внутренних дел РФ, потерявшим кормильца, ремонт которых подлежит оплате за счет средств федерального бюджета, и направлению реестров плательщиков средств в уполномоченный федеральный орган исполнительной власти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Регистрация и учет граждан, выехавших из районов Крайнего Севера и приравненных к ним местностей не ранее 1 января 1992г., имеющих право на получение социальной выплаты для приобретения жилья</w:t>
            </w:r>
          </w:p>
        </w:tc>
      </w:tr>
      <w:tr w:rsidR="00A70C86" w:rsidRPr="00105634" w:rsidTr="00A70C86">
        <w:trPr>
          <w:trHeight w:val="11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Субсидирование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</w:t>
            </w:r>
          </w:p>
        </w:tc>
      </w:tr>
      <w:tr w:rsidR="00A70C86" w:rsidRPr="00105634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</w:tr>
      <w:tr w:rsidR="00A70C86" w:rsidRPr="00105634" w:rsidTr="00A70C86">
        <w:trPr>
          <w:trHeight w:val="22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</w:tr>
      <w:tr w:rsidR="00A70C86" w:rsidRPr="00105634" w:rsidTr="00A70C86">
        <w:trPr>
          <w:trHeight w:val="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proofErr w:type="spellStart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 xml:space="preserve"> проектной документации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труда и занятости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Информирование о положении на рынке труда в Липецкой области</w:t>
            </w:r>
          </w:p>
        </w:tc>
      </w:tr>
      <w:tr w:rsidR="00A70C86" w:rsidRPr="00105634" w:rsidTr="00A70C86">
        <w:trPr>
          <w:trHeight w:val="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Организация временного трудоустройства  граждан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Организация профессиональной ориентации граждан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Профессиональное обучение безработных граждан</w:t>
            </w:r>
          </w:p>
        </w:tc>
      </w:tr>
      <w:tr w:rsidR="00A70C86" w:rsidRPr="00105634" w:rsidTr="00A70C86">
        <w:trPr>
          <w:trHeight w:val="1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и незанятых граждан, которым в соответствии с законодательством Российской Федерации назначена трудовая пенсия по старости</w:t>
            </w:r>
          </w:p>
        </w:tc>
      </w:tr>
      <w:tr w:rsidR="00A70C86" w:rsidRPr="00105634" w:rsidTr="00A70C86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ГУ_У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A70C86" w:rsidRPr="00105634" w:rsidTr="00A70C86">
        <w:trPr>
          <w:trHeight w:val="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Управление экологии и природных ресурсов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86" w:rsidRPr="00105634" w:rsidRDefault="00A70C86" w:rsidP="00A70C86">
            <w:pPr>
              <w:spacing w:after="0" w:line="240" w:lineRule="auto"/>
              <w:rPr>
                <w:rFonts w:ascii="Arial" w:eastAsia="Times New Roman" w:hAnsi="Arial" w:cs="Arial"/>
                <w:b/>
                <w:color w:val="646464"/>
                <w:sz w:val="24"/>
                <w:szCs w:val="24"/>
                <w:lang w:eastAsia="ru-RU"/>
              </w:rPr>
            </w:pPr>
            <w:r w:rsidRPr="00105634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Лицензирование пользования участками недр местного значения на территории Липецкой области</w:t>
            </w:r>
          </w:p>
        </w:tc>
      </w:tr>
    </w:tbl>
    <w:p w:rsidR="00A35603" w:rsidRPr="00105634" w:rsidRDefault="00A35603">
      <w:pPr>
        <w:rPr>
          <w:b/>
          <w:sz w:val="24"/>
          <w:szCs w:val="24"/>
        </w:rPr>
      </w:pPr>
    </w:p>
    <w:sectPr w:rsidR="00A35603" w:rsidRPr="00105634" w:rsidSect="00A70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40D9"/>
    <w:multiLevelType w:val="multilevel"/>
    <w:tmpl w:val="E95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8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5634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A3669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A26D8"/>
    <w:rsid w:val="005B0D6E"/>
    <w:rsid w:val="005D35BD"/>
    <w:rsid w:val="005D400C"/>
    <w:rsid w:val="005D736C"/>
    <w:rsid w:val="005E2B9E"/>
    <w:rsid w:val="005E79A8"/>
    <w:rsid w:val="005F44D9"/>
    <w:rsid w:val="00603163"/>
    <w:rsid w:val="00620E71"/>
    <w:rsid w:val="00634B90"/>
    <w:rsid w:val="00643200"/>
    <w:rsid w:val="00650F13"/>
    <w:rsid w:val="00656775"/>
    <w:rsid w:val="00660714"/>
    <w:rsid w:val="00660CF4"/>
    <w:rsid w:val="00662EEE"/>
    <w:rsid w:val="006A18B3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2CA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70C86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2C97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C86"/>
    <w:rPr>
      <w:color w:val="0000FF"/>
      <w:u w:val="single"/>
    </w:rPr>
  </w:style>
  <w:style w:type="character" w:styleId="a5">
    <w:name w:val="Strong"/>
    <w:basedOn w:val="a0"/>
    <w:uiPriority w:val="22"/>
    <w:qFormat/>
    <w:rsid w:val="00A70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C86"/>
    <w:rPr>
      <w:color w:val="0000FF"/>
      <w:u w:val="single"/>
    </w:rPr>
  </w:style>
  <w:style w:type="character" w:styleId="a5">
    <w:name w:val="Strong"/>
    <w:basedOn w:val="a0"/>
    <w:uiPriority w:val="22"/>
    <w:qFormat/>
    <w:rsid w:val="00A70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admlr.lipetsk.ru/wps/portal/lipetsk/catalog" TargetMode="External"/><Relationship Id="rId13" Type="http://schemas.openxmlformats.org/officeDocument/2006/relationships/hyperlink" Target="http://pgu.admlr.lipetsk.ru/wps/portal/lipetsksv/main/popular/!ut/p/b1/04_Sj9CPykssy0xPLMnMz0vMAfGjzOL9LSyMjCwtjDwNPF0NDRwt3J1MA41NjQwcjYAKIoEKDHAARwNC-sP1o_AqcTcnpMAMqgCPG_w88nNT9QtyIwwyA9IVASY8ecI!/dl4/d5/L2dBISEvZ0FBIS9nQSEh/" TargetMode="External"/><Relationship Id="rId18" Type="http://schemas.openxmlformats.org/officeDocument/2006/relationships/hyperlink" Target="https://pgu.admlr.lipetsk.ru/wps/myportal/lipetsk/service?serviceId=4840100010000048277" TargetMode="External"/><Relationship Id="rId26" Type="http://schemas.openxmlformats.org/officeDocument/2006/relationships/hyperlink" Target="http://pgu.admlr.lipetsk.ru/wps/portal/lipetsk/eservic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10081/1" TargetMode="External"/><Relationship Id="rId7" Type="http://schemas.openxmlformats.org/officeDocument/2006/relationships/hyperlink" Target="http://pgu.admlr.lipetsk.ru/wps/portal/lipetsk" TargetMode="External"/><Relationship Id="rId12" Type="http://schemas.openxmlformats.org/officeDocument/2006/relationships/hyperlink" Target="http://pgu.admlr.lipetsk.ru/wps/portal/lipetsk/helpuser" TargetMode="External"/><Relationship Id="rId17" Type="http://schemas.openxmlformats.org/officeDocument/2006/relationships/hyperlink" Target="https://pgu.admlr.lipetsk.ru/wps/myportal/lipetsk/service?serviceId=4840100010000046875" TargetMode="External"/><Relationship Id="rId25" Type="http://schemas.openxmlformats.org/officeDocument/2006/relationships/hyperlink" Target="http://pgu.admlr.lipetsk.ru/wps/portal/lipetsk/mfc" TargetMode="External"/><Relationship Id="rId2" Type="http://schemas.openxmlformats.org/officeDocument/2006/relationships/styles" Target="styles.xml"/><Relationship Id="rId16" Type="http://schemas.openxmlformats.org/officeDocument/2006/relationships/hyperlink" Target="http://pgu.admlr.lipetsk.ru/wps/portal/lipetsk/organizations" TargetMode="External"/><Relationship Id="rId20" Type="http://schemas.openxmlformats.org/officeDocument/2006/relationships/hyperlink" Target="https://www.gosuslugi.ru/1005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pgu.admlr.lipetsk.ru/wps/portal/lipetsk/helpuser" TargetMode="External"/><Relationship Id="rId24" Type="http://schemas.openxmlformats.org/officeDocument/2006/relationships/hyperlink" Target="http://www.pgu4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u.admlr.lipetsk.ru/wps/portal/!ut/p/b0/04_Sj9CPykssy0xPLMnMz0vMAfGjzOL9LSyMjCwtjDwNLN0sDTzdXDy9wkycDAy8jPQLsh0VAddcfVU!/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youtu.be/s8N2tsJm8MQ" TargetMode="External"/><Relationship Id="rId19" Type="http://schemas.openxmlformats.org/officeDocument/2006/relationships/hyperlink" Target="https://www.gosuslugi.ru/10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cAayoA0Pva0" TargetMode="External"/><Relationship Id="rId14" Type="http://schemas.openxmlformats.org/officeDocument/2006/relationships/hyperlink" Target="http://pgu.admlr.lipetsk.ru/wps/portal/lipetsk" TargetMode="External"/><Relationship Id="rId22" Type="http://schemas.openxmlformats.org/officeDocument/2006/relationships/hyperlink" Target="https://www.gosuslugi.ru/10086" TargetMode="External"/><Relationship Id="rId27" Type="http://schemas.openxmlformats.org/officeDocument/2006/relationships/hyperlink" Target="http://pgu.admlr.lipetsk.ru/wps/portal/lipetsk/e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2019-07-03T11:07:00Z</dcterms:created>
  <dcterms:modified xsi:type="dcterms:W3CDTF">2019-07-03T12:22:00Z</dcterms:modified>
</cp:coreProperties>
</file>